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D79E7">
      <w:pPr>
        <w:keepNext w:val="0"/>
        <w:keepLines w:val="0"/>
        <w:pageBreakBefore w:val="0"/>
        <w:widowControl w:val="0"/>
        <w:kinsoku/>
        <w:wordWrap/>
        <w:overflowPunct/>
        <w:topLinePunct w:val="0"/>
        <w:autoSpaceDE/>
        <w:autoSpaceDN/>
        <w:bidi w:val="0"/>
        <w:adjustRightInd/>
        <w:snapToGrid/>
        <w:spacing w:after="156" w:afterLines="50" w:line="560" w:lineRule="exact"/>
        <w:jc w:val="center"/>
        <w:textAlignment w:val="auto"/>
        <w:rPr>
          <w:rFonts w:hint="default" w:ascii="Times New Roman" w:hAnsi="Times New Roman" w:eastAsia="方正小标宋简体" w:cs="Times New Roman"/>
          <w:color w:val="000000"/>
          <w:sz w:val="44"/>
          <w:szCs w:val="44"/>
        </w:rPr>
      </w:pPr>
      <w:r>
        <w:rPr>
          <w:rFonts w:hint="default" w:ascii="Times New Roman" w:hAnsi="Times New Roman" w:eastAsia="方正小标宋_GBK" w:cs="Times New Roman"/>
          <w:color w:val="000000"/>
          <w:sz w:val="44"/>
          <w:szCs w:val="44"/>
          <w:lang w:val="en-US" w:eastAsia="zh-CN"/>
        </w:rPr>
        <w:t>江苏</w:t>
      </w:r>
      <w:r>
        <w:rPr>
          <w:rFonts w:hint="default" w:ascii="Times New Roman" w:hAnsi="Times New Roman" w:eastAsia="方正小标宋_GBK" w:cs="Times New Roman"/>
          <w:color w:val="000000"/>
          <w:sz w:val="44"/>
          <w:szCs w:val="44"/>
        </w:rPr>
        <w:t>新闻奖</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lang w:val="en-US" w:eastAsia="zh-CN"/>
        </w:rPr>
        <w:t>作品</w:t>
      </w:r>
      <w:r>
        <w:rPr>
          <w:rFonts w:hint="eastAsia" w:ascii="Times New Roman" w:hAnsi="Times New Roman" w:eastAsia="方正小标宋_GBK" w:cs="Times New Roman"/>
          <w:color w:val="000000"/>
          <w:sz w:val="44"/>
          <w:szCs w:val="44"/>
          <w:lang w:val="en-US" w:eastAsia="zh-CN"/>
        </w:rPr>
        <w:t>类</w:t>
      </w:r>
      <w:r>
        <w:rPr>
          <w:rFonts w:hint="default" w:ascii="Times New Roman" w:hAnsi="Times New Roman" w:eastAsia="方正小标宋_GBK" w:cs="Times New Roman"/>
          <w:color w:val="000000"/>
          <w:sz w:val="44"/>
          <w:szCs w:val="44"/>
          <w:lang w:eastAsia="zh-CN"/>
        </w:rPr>
        <w:t>）</w:t>
      </w:r>
      <w:r>
        <w:rPr>
          <w:rFonts w:hint="default" w:ascii="Times New Roman" w:hAnsi="Times New Roman" w:eastAsia="方正小标宋_GBK" w:cs="Times New Roman"/>
          <w:color w:val="000000"/>
          <w:sz w:val="44"/>
          <w:szCs w:val="44"/>
        </w:rPr>
        <w:t>参评作品推荐表</w:t>
      </w:r>
    </w:p>
    <w:tbl>
      <w:tblPr>
        <w:tblStyle w:val="4"/>
        <w:tblW w:w="98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12"/>
        <w:gridCol w:w="888"/>
        <w:gridCol w:w="1323"/>
        <w:gridCol w:w="1877"/>
        <w:gridCol w:w="1567"/>
        <w:gridCol w:w="1122"/>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755" w:hRule="exact"/>
          <w:jc w:val="center"/>
        </w:trPr>
        <w:tc>
          <w:tcPr>
            <w:tcW w:w="992" w:type="dxa"/>
            <w:tcBorders>
              <w:tl2br w:val="nil"/>
              <w:tr2bl w:val="nil"/>
            </w:tcBorders>
            <w:vAlign w:val="center"/>
          </w:tcPr>
          <w:p w14:paraId="3D56D549">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作品</w:t>
            </w:r>
          </w:p>
          <w:p w14:paraId="54EF6AB0">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标题</w:t>
            </w:r>
          </w:p>
        </w:tc>
        <w:tc>
          <w:tcPr>
            <w:tcW w:w="4600" w:type="dxa"/>
            <w:gridSpan w:val="4"/>
            <w:tcBorders>
              <w:tl2br w:val="nil"/>
              <w:tr2bl w:val="nil"/>
            </w:tcBorders>
            <w:vAlign w:val="center"/>
          </w:tcPr>
          <w:p w14:paraId="0EDFCF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b w:val="0"/>
                <w:bCs w:val="0"/>
                <w:color w:val="000000"/>
                <w:sz w:val="21"/>
                <w:szCs w:val="21"/>
              </w:rPr>
              <w:t>突破传统农业物权概念 推动“资产”变“资金”</w:t>
            </w:r>
          </w:p>
          <w:p w14:paraId="00F3CAEF">
            <w:pPr>
              <w:spacing w:line="240" w:lineRule="exact"/>
              <w:ind w:firstLine="0" w:firstLineChars="0"/>
              <w:jc w:val="center"/>
              <w:rPr>
                <w:rFonts w:hint="default" w:ascii="Times New Roman" w:hAnsi="Times New Roman" w:eastAsia="方正仿宋_GBK" w:cs="Times New Roman"/>
                <w:b w:val="0"/>
                <w:bCs w:val="0"/>
                <w:color w:val="000000"/>
                <w:sz w:val="21"/>
                <w:szCs w:val="15"/>
              </w:rPr>
            </w:pPr>
            <w:r>
              <w:rPr>
                <w:rFonts w:hint="default" w:ascii="Times New Roman" w:hAnsi="Times New Roman" w:eastAsia="方正仿宋_GBK" w:cs="Times New Roman"/>
                <w:b/>
                <w:bCs/>
                <w:color w:val="000000"/>
                <w:sz w:val="21"/>
                <w:szCs w:val="21"/>
              </w:rPr>
              <w:t>我市已发放农业设施抵押贷款1.4亿元</w:t>
            </w:r>
          </w:p>
        </w:tc>
        <w:tc>
          <w:tcPr>
            <w:tcW w:w="1567" w:type="dxa"/>
            <w:tcBorders>
              <w:tl2br w:val="nil"/>
              <w:tr2bl w:val="nil"/>
            </w:tcBorders>
            <w:vAlign w:val="center"/>
          </w:tcPr>
          <w:p w14:paraId="350F4878">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7C625C79">
            <w:pPr>
              <w:spacing w:line="320" w:lineRule="exact"/>
              <w:jc w:val="center"/>
              <w:rPr>
                <w:rFonts w:hint="default"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年度</w:t>
            </w:r>
          </w:p>
        </w:tc>
        <w:tc>
          <w:tcPr>
            <w:tcW w:w="2654" w:type="dxa"/>
            <w:gridSpan w:val="2"/>
            <w:tcBorders>
              <w:tl2br w:val="nil"/>
              <w:tr2bl w:val="nil"/>
            </w:tcBorders>
            <w:vAlign w:val="center"/>
          </w:tcPr>
          <w:p w14:paraId="648297C0">
            <w:pPr>
              <w:spacing w:line="240" w:lineRule="exact"/>
              <w:ind w:firstLine="0" w:firstLineChars="0"/>
              <w:jc w:val="center"/>
              <w:rPr>
                <w:rFonts w:hint="eastAsia" w:ascii="Times New Roman" w:hAnsi="Times New Roman" w:eastAsia="方正仿宋_GBK" w:cs="Times New Roman"/>
                <w:b w:val="0"/>
                <w:bCs w:val="0"/>
                <w:color w:val="000000"/>
                <w:sz w:val="21"/>
                <w:szCs w:val="15"/>
                <w:lang w:val="en-US" w:eastAsia="zh-CN"/>
              </w:rPr>
            </w:pPr>
            <w:r>
              <w:rPr>
                <w:rFonts w:hint="eastAsia" w:ascii="Times New Roman" w:hAnsi="Times New Roman" w:eastAsia="方正仿宋_GBK" w:cs="Times New Roman"/>
                <w:b w:val="0"/>
                <w:bCs w:val="0"/>
                <w:color w:val="000000"/>
                <w:sz w:val="21"/>
                <w:szCs w:val="15"/>
                <w:lang w:val="en-US" w:eastAsia="zh-CN"/>
              </w:rPr>
              <w:t>2023年度</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705" w:hRule="exact"/>
          <w:jc w:val="center"/>
        </w:trPr>
        <w:tc>
          <w:tcPr>
            <w:tcW w:w="992" w:type="dxa"/>
            <w:vMerge w:val="restart"/>
            <w:tcBorders>
              <w:tl2br w:val="nil"/>
              <w:tr2bl w:val="nil"/>
            </w:tcBorders>
            <w:vAlign w:val="center"/>
          </w:tcPr>
          <w:p w14:paraId="420C0C53">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字数</w:t>
            </w:r>
          </w:p>
          <w:p w14:paraId="241941F1">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时长</w:t>
            </w:r>
          </w:p>
        </w:tc>
        <w:tc>
          <w:tcPr>
            <w:tcW w:w="4600" w:type="dxa"/>
            <w:gridSpan w:val="4"/>
            <w:vMerge w:val="restart"/>
            <w:tcBorders>
              <w:tl2br w:val="nil"/>
              <w:tr2bl w:val="nil"/>
            </w:tcBorders>
            <w:vAlign w:val="center"/>
          </w:tcPr>
          <w:p w14:paraId="78038E3E">
            <w:pPr>
              <w:spacing w:line="240" w:lineRule="exact"/>
              <w:ind w:firstLine="0" w:firstLineChars="0"/>
              <w:jc w:val="center"/>
              <w:rPr>
                <w:rFonts w:hint="default" w:ascii="Times New Roman" w:hAnsi="Times New Roman" w:eastAsia="方正仿宋_GBK" w:cs="Times New Roman"/>
                <w:b w:val="0"/>
                <w:bCs w:val="0"/>
                <w:color w:val="000000"/>
                <w:sz w:val="21"/>
                <w:szCs w:val="15"/>
                <w:lang w:val="en-US" w:eastAsia="zh-CN"/>
              </w:rPr>
            </w:pPr>
            <w:r>
              <w:rPr>
                <w:rFonts w:hint="eastAsia" w:ascii="Times New Roman" w:hAnsi="Times New Roman" w:eastAsia="方正仿宋_GBK" w:cs="Times New Roman"/>
                <w:b w:val="0"/>
                <w:bCs w:val="0"/>
                <w:color w:val="000000"/>
                <w:sz w:val="21"/>
                <w:szCs w:val="15"/>
                <w:lang w:val="en-US" w:eastAsia="zh-CN"/>
              </w:rPr>
              <w:t>988</w:t>
            </w:r>
          </w:p>
        </w:tc>
        <w:tc>
          <w:tcPr>
            <w:tcW w:w="1567" w:type="dxa"/>
            <w:tcBorders>
              <w:tl2br w:val="nil"/>
              <w:tr2bl w:val="nil"/>
            </w:tcBorders>
            <w:shd w:val="clear" w:color="auto" w:fill="auto"/>
            <w:vAlign w:val="center"/>
          </w:tcPr>
          <w:p w14:paraId="71E667F0">
            <w:pPr>
              <w:spacing w:line="320" w:lineRule="exact"/>
              <w:jc w:val="center"/>
              <w:rPr>
                <w:rFonts w:hint="eastAsia" w:ascii="Times New Roman" w:hAnsi="Times New Roman" w:eastAsia="方正仿宋_GBK" w:cs="Times New Roman"/>
                <w:b/>
                <w:bCs/>
                <w:color w:val="000000"/>
                <w:sz w:val="28"/>
                <w:lang w:val="en-US" w:eastAsia="zh-CN"/>
              </w:rPr>
            </w:pPr>
            <w:r>
              <w:rPr>
                <w:rFonts w:hint="eastAsia" w:ascii="Times New Roman" w:hAnsi="Times New Roman" w:eastAsia="方正仿宋_GBK" w:cs="Times New Roman"/>
                <w:b/>
                <w:bCs/>
                <w:color w:val="000000"/>
                <w:sz w:val="28"/>
                <w:lang w:val="en-US" w:eastAsia="zh-CN"/>
              </w:rPr>
              <w:t>作品</w:t>
            </w:r>
          </w:p>
          <w:p w14:paraId="1BB47A1D">
            <w:pPr>
              <w:spacing w:line="320" w:lineRule="exact"/>
              <w:jc w:val="center"/>
              <w:rPr>
                <w:rFonts w:hint="default" w:ascii="Times New Roman" w:hAnsi="Times New Roman" w:eastAsia="方正仿宋_GBK" w:cs="Times New Roman"/>
                <w:b/>
                <w:bCs/>
                <w:color w:val="000000"/>
                <w:kern w:val="2"/>
                <w:sz w:val="28"/>
                <w:szCs w:val="22"/>
                <w:lang w:val="en-US" w:eastAsia="zh-CN" w:bidi="ar-SA"/>
              </w:rPr>
            </w:pPr>
            <w:r>
              <w:rPr>
                <w:rFonts w:hint="eastAsia" w:ascii="Times New Roman" w:hAnsi="Times New Roman" w:eastAsia="方正仿宋_GBK" w:cs="Times New Roman"/>
                <w:b/>
                <w:bCs/>
                <w:color w:val="000000"/>
                <w:sz w:val="28"/>
                <w:lang w:val="en-US" w:eastAsia="zh-CN"/>
              </w:rPr>
              <w:t>类别</w:t>
            </w:r>
          </w:p>
        </w:tc>
        <w:tc>
          <w:tcPr>
            <w:tcW w:w="2654" w:type="dxa"/>
            <w:gridSpan w:val="2"/>
            <w:tcBorders>
              <w:tl2br w:val="nil"/>
              <w:tr2bl w:val="nil"/>
            </w:tcBorders>
            <w:shd w:val="clear" w:color="auto" w:fill="auto"/>
            <w:vAlign w:val="center"/>
          </w:tcPr>
          <w:p w14:paraId="0EF9348B">
            <w:pPr>
              <w:spacing w:line="240" w:lineRule="exact"/>
              <w:ind w:firstLine="0" w:firstLineChars="0"/>
              <w:jc w:val="center"/>
              <w:rPr>
                <w:rFonts w:hint="default" w:ascii="Times New Roman" w:hAnsi="Times New Roman" w:eastAsia="方正仿宋_GBK" w:cs="Times New Roman"/>
                <w:b w:val="0"/>
                <w:bCs w:val="0"/>
                <w:color w:val="000000"/>
                <w:kern w:val="2"/>
                <w:sz w:val="21"/>
                <w:szCs w:val="15"/>
                <w:lang w:val="en-US" w:eastAsia="zh-CN" w:bidi="ar-SA"/>
              </w:rPr>
            </w:pPr>
            <w:r>
              <w:rPr>
                <w:rFonts w:hint="default" w:ascii="Times New Roman" w:hAnsi="Times New Roman" w:eastAsia="方正仿宋_GBK" w:cs="Times New Roman"/>
                <w:b w:val="0"/>
                <w:bCs w:val="0"/>
                <w:color w:val="000000"/>
                <w:sz w:val="21"/>
                <w:szCs w:val="15"/>
              </w:rPr>
              <w:t>报纸</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391" w:hRule="atLeast"/>
          <w:jc w:val="center"/>
        </w:trPr>
        <w:tc>
          <w:tcPr>
            <w:tcW w:w="992" w:type="dxa"/>
            <w:vMerge w:val="continue"/>
            <w:tcBorders>
              <w:tl2br w:val="nil"/>
              <w:tr2bl w:val="nil"/>
            </w:tcBorders>
            <w:vAlign w:val="center"/>
          </w:tcPr>
          <w:p w14:paraId="595770B0">
            <w:pPr>
              <w:spacing w:line="320" w:lineRule="exact"/>
              <w:jc w:val="center"/>
              <w:rPr>
                <w:rFonts w:hint="default" w:ascii="Times New Roman" w:hAnsi="Times New Roman" w:eastAsia="方正仿宋_GBK" w:cs="Times New Roman"/>
                <w:b/>
                <w:bCs/>
                <w:color w:val="000000"/>
                <w:sz w:val="28"/>
              </w:rPr>
            </w:pPr>
          </w:p>
        </w:tc>
        <w:tc>
          <w:tcPr>
            <w:tcW w:w="4600" w:type="dxa"/>
            <w:gridSpan w:val="4"/>
            <w:vMerge w:val="continue"/>
            <w:tcBorders>
              <w:tl2br w:val="nil"/>
              <w:tr2bl w:val="nil"/>
            </w:tcBorders>
            <w:vAlign w:val="center"/>
          </w:tcPr>
          <w:p w14:paraId="0A8AF4DF">
            <w:pPr>
              <w:spacing w:line="380" w:lineRule="exact"/>
              <w:ind w:firstLine="560"/>
              <w:jc w:val="center"/>
              <w:rPr>
                <w:rFonts w:hint="default" w:ascii="Times New Roman" w:hAnsi="Times New Roman" w:eastAsia="方正仿宋_GBK" w:cs="Times New Roman"/>
                <w:b w:val="0"/>
                <w:bCs w:val="0"/>
                <w:color w:val="000000"/>
                <w:sz w:val="21"/>
                <w:szCs w:val="21"/>
              </w:rPr>
            </w:pPr>
          </w:p>
        </w:tc>
        <w:tc>
          <w:tcPr>
            <w:tcW w:w="1567" w:type="dxa"/>
            <w:tcBorders>
              <w:tl2br w:val="nil"/>
              <w:tr2bl w:val="nil"/>
            </w:tcBorders>
            <w:shd w:val="clear" w:color="auto" w:fill="auto"/>
            <w:vAlign w:val="center"/>
          </w:tcPr>
          <w:p w14:paraId="0FE0B5D4">
            <w:pPr>
              <w:spacing w:line="380" w:lineRule="exact"/>
              <w:jc w:val="center"/>
              <w:rPr>
                <w:rFonts w:hint="default" w:ascii="Times New Roman" w:hAnsi="Times New Roman" w:eastAsia="方正仿宋_GBK" w:cs="Times New Roman"/>
                <w:b/>
                <w:bCs/>
                <w:color w:val="000000"/>
                <w:kern w:val="2"/>
                <w:sz w:val="28"/>
                <w:szCs w:val="22"/>
                <w:lang w:val="en-US" w:eastAsia="zh-CN" w:bidi="ar-SA"/>
              </w:rPr>
            </w:pPr>
            <w:r>
              <w:rPr>
                <w:rFonts w:hint="default" w:ascii="Times New Roman" w:hAnsi="Times New Roman" w:eastAsia="方正仿宋_GBK" w:cs="Times New Roman"/>
                <w:b/>
                <w:bCs/>
                <w:color w:val="000000"/>
                <w:sz w:val="28"/>
              </w:rPr>
              <w:t>体裁</w:t>
            </w:r>
          </w:p>
        </w:tc>
        <w:tc>
          <w:tcPr>
            <w:tcW w:w="2654" w:type="dxa"/>
            <w:gridSpan w:val="2"/>
            <w:tcBorders>
              <w:tl2br w:val="nil"/>
              <w:tr2bl w:val="nil"/>
            </w:tcBorders>
            <w:shd w:val="clear" w:color="auto" w:fill="auto"/>
            <w:vAlign w:val="center"/>
          </w:tcPr>
          <w:p w14:paraId="3AAC3CF0">
            <w:pPr>
              <w:spacing w:line="240" w:lineRule="exact"/>
              <w:ind w:firstLine="0" w:firstLineChars="0"/>
              <w:jc w:val="center"/>
              <w:rPr>
                <w:rFonts w:hint="eastAsia" w:ascii="Times New Roman" w:hAnsi="Times New Roman" w:eastAsia="方正仿宋_GBK" w:cs="Times New Roman"/>
                <w:b w:val="0"/>
                <w:bCs w:val="0"/>
                <w:color w:val="000000"/>
                <w:kern w:val="2"/>
                <w:sz w:val="21"/>
                <w:szCs w:val="15"/>
                <w:lang w:val="en-US" w:eastAsia="zh-CN" w:bidi="ar-SA"/>
              </w:rPr>
            </w:pPr>
            <w:r>
              <w:rPr>
                <w:rFonts w:hint="eastAsia" w:ascii="Times New Roman" w:hAnsi="Times New Roman" w:eastAsia="方正仿宋_GBK" w:cs="Times New Roman"/>
                <w:b w:val="0"/>
                <w:bCs w:val="0"/>
                <w:color w:val="000000"/>
                <w:sz w:val="21"/>
                <w:szCs w:val="15"/>
                <w:lang w:val="en-US" w:eastAsia="zh-CN"/>
              </w:rPr>
              <w:t>消息</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538" w:hRule="atLeast"/>
          <w:jc w:val="center"/>
        </w:trPr>
        <w:tc>
          <w:tcPr>
            <w:tcW w:w="992" w:type="dxa"/>
            <w:tcBorders>
              <w:tl2br w:val="nil"/>
              <w:tr2bl w:val="nil"/>
            </w:tcBorders>
            <w:vAlign w:val="center"/>
          </w:tcPr>
          <w:p w14:paraId="39E259F9">
            <w:pPr>
              <w:spacing w:line="320" w:lineRule="exact"/>
              <w:jc w:val="center"/>
              <w:rPr>
                <w:rFonts w:hint="default" w:ascii="Times New Roman" w:hAnsi="Times New Roman" w:eastAsia="方正仿宋_GBK" w:cs="Times New Roman"/>
                <w:b/>
                <w:bCs/>
                <w:color w:val="000000"/>
                <w:spacing w:val="-12"/>
                <w:sz w:val="28"/>
              </w:rPr>
            </w:pPr>
            <w:r>
              <w:rPr>
                <w:rFonts w:hint="default" w:ascii="Times New Roman" w:hAnsi="Times New Roman" w:eastAsia="方正仿宋_GBK" w:cs="Times New Roman"/>
                <w:b/>
                <w:bCs/>
                <w:color w:val="000000"/>
                <w:spacing w:val="-12"/>
                <w:sz w:val="28"/>
              </w:rPr>
              <w:t>作者</w:t>
            </w:r>
          </w:p>
          <w:p w14:paraId="56221385">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12"/>
                <w:sz w:val="16"/>
                <w:szCs w:val="16"/>
              </w:rPr>
              <w:t>（主创人员）</w:t>
            </w:r>
          </w:p>
        </w:tc>
        <w:tc>
          <w:tcPr>
            <w:tcW w:w="4600" w:type="dxa"/>
            <w:gridSpan w:val="4"/>
            <w:tcBorders>
              <w:tl2br w:val="nil"/>
              <w:tr2bl w:val="nil"/>
            </w:tcBorders>
            <w:vAlign w:val="center"/>
          </w:tcPr>
          <w:p w14:paraId="7453BB5E">
            <w:pPr>
              <w:spacing w:line="240" w:lineRule="exact"/>
              <w:ind w:firstLine="0" w:firstLineChars="0"/>
              <w:jc w:val="center"/>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sz w:val="21"/>
              </w:rPr>
              <w:t>王晨 刘海</w:t>
            </w:r>
          </w:p>
        </w:tc>
        <w:tc>
          <w:tcPr>
            <w:tcW w:w="1567" w:type="dxa"/>
            <w:tcBorders>
              <w:tl2br w:val="nil"/>
              <w:tr2bl w:val="nil"/>
            </w:tcBorders>
            <w:vAlign w:val="center"/>
          </w:tcPr>
          <w:p w14:paraId="4B47EE1F">
            <w:pPr>
              <w:spacing w:line="38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编辑</w:t>
            </w:r>
          </w:p>
        </w:tc>
        <w:tc>
          <w:tcPr>
            <w:tcW w:w="2654" w:type="dxa"/>
            <w:gridSpan w:val="2"/>
            <w:tcBorders>
              <w:tl2br w:val="nil"/>
              <w:tr2bl w:val="nil"/>
            </w:tcBorders>
            <w:vAlign w:val="center"/>
          </w:tcPr>
          <w:p w14:paraId="21870789">
            <w:pPr>
              <w:spacing w:line="240" w:lineRule="exact"/>
              <w:ind w:firstLine="0" w:firstLineChars="0"/>
              <w:jc w:val="center"/>
              <w:rPr>
                <w:rFonts w:hint="default" w:ascii="Times New Roman" w:hAnsi="Times New Roman" w:eastAsia="方正仿宋_GBK" w:cs="Times New Roman"/>
                <w:b w:val="0"/>
                <w:bCs w:val="0"/>
                <w:color w:val="000000"/>
                <w:sz w:val="21"/>
                <w:szCs w:val="15"/>
              </w:rPr>
            </w:pPr>
            <w:r>
              <w:rPr>
                <w:rFonts w:hint="eastAsia" w:ascii="Times New Roman" w:hAnsi="Times New Roman" w:eastAsia="方正仿宋_GBK" w:cs="Times New Roman"/>
                <w:sz w:val="22"/>
                <w:lang w:val="en-US" w:eastAsia="zh-CN"/>
              </w:rPr>
              <w:t>张凡</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632" w:hRule="atLeast"/>
          <w:jc w:val="center"/>
        </w:trPr>
        <w:tc>
          <w:tcPr>
            <w:tcW w:w="992" w:type="dxa"/>
            <w:tcBorders>
              <w:tl2br w:val="nil"/>
              <w:tr2bl w:val="nil"/>
            </w:tcBorders>
            <w:vAlign w:val="center"/>
          </w:tcPr>
          <w:p w14:paraId="1D26F75B">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原创</w:t>
            </w:r>
          </w:p>
          <w:p w14:paraId="0880A548">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单位</w:t>
            </w:r>
          </w:p>
        </w:tc>
        <w:tc>
          <w:tcPr>
            <w:tcW w:w="4600" w:type="dxa"/>
            <w:gridSpan w:val="4"/>
            <w:tcBorders>
              <w:tl2br w:val="nil"/>
              <w:tr2bl w:val="nil"/>
            </w:tcBorders>
            <w:vAlign w:val="center"/>
          </w:tcPr>
          <w:p w14:paraId="4A51632B">
            <w:pPr>
              <w:spacing w:line="260" w:lineRule="exact"/>
              <w:ind w:firstLine="0"/>
              <w:jc w:val="center"/>
              <w:rPr>
                <w:rFonts w:hint="default" w:ascii="Times New Roman" w:hAnsi="Times New Roman" w:eastAsia="方正仿宋_GBK" w:cs="Times New Roman"/>
                <w:b w:val="0"/>
                <w:bCs w:val="0"/>
                <w:color w:val="000000"/>
                <w:szCs w:val="21"/>
              </w:rPr>
            </w:pPr>
            <w:r>
              <w:rPr>
                <w:rFonts w:hint="eastAsia" w:ascii="Times New Roman" w:hAnsi="Times New Roman" w:eastAsia="方正仿宋_GBK" w:cs="Times New Roman"/>
                <w:b w:val="0"/>
                <w:bCs w:val="0"/>
                <w:color w:val="000000"/>
                <w:sz w:val="21"/>
                <w:szCs w:val="15"/>
                <w:lang w:val="en-US" w:eastAsia="zh-CN"/>
              </w:rPr>
              <w:t>宿迁日报社</w:t>
            </w:r>
          </w:p>
        </w:tc>
        <w:tc>
          <w:tcPr>
            <w:tcW w:w="1567" w:type="dxa"/>
            <w:tcBorders>
              <w:tl2br w:val="nil"/>
              <w:tr2bl w:val="nil"/>
            </w:tcBorders>
            <w:vAlign w:val="center"/>
          </w:tcPr>
          <w:p w14:paraId="1916C51B">
            <w:pPr>
              <w:spacing w:line="260" w:lineRule="exact"/>
              <w:jc w:val="center"/>
              <w:rPr>
                <w:rFonts w:hint="default" w:ascii="Times New Roman" w:hAnsi="Times New Roman" w:eastAsia="方正仿宋_GBK" w:cs="Times New Roman"/>
                <w:b/>
                <w:bCs/>
                <w:color w:val="000000"/>
                <w:sz w:val="24"/>
                <w:szCs w:val="36"/>
              </w:rPr>
            </w:pPr>
            <w:r>
              <w:rPr>
                <w:rFonts w:hint="default" w:ascii="Times New Roman" w:hAnsi="Times New Roman" w:eastAsia="方正仿宋_GBK" w:cs="Times New Roman"/>
                <w:b/>
                <w:bCs/>
                <w:color w:val="000000"/>
                <w:sz w:val="24"/>
                <w:szCs w:val="36"/>
              </w:rPr>
              <w:t>发布端/账号/</w:t>
            </w:r>
          </w:p>
          <w:p w14:paraId="7B62230C">
            <w:pPr>
              <w:spacing w:line="260" w:lineRule="exact"/>
              <w:jc w:val="center"/>
              <w:rPr>
                <w:rFonts w:hint="default" w:ascii="Times New Roman" w:hAnsi="Times New Roman" w:eastAsia="方正仿宋_GBK" w:cs="Times New Roman"/>
                <w:b/>
                <w:bCs/>
                <w:color w:val="000000"/>
                <w:sz w:val="28"/>
                <w:szCs w:val="40"/>
                <w:highlight w:val="green"/>
              </w:rPr>
            </w:pPr>
            <w:r>
              <w:rPr>
                <w:rFonts w:hint="default" w:ascii="Times New Roman" w:hAnsi="Times New Roman" w:eastAsia="方正仿宋_GBK" w:cs="Times New Roman"/>
                <w:b/>
                <w:bCs/>
                <w:color w:val="000000"/>
                <w:sz w:val="24"/>
                <w:szCs w:val="36"/>
              </w:rPr>
              <w:t>媒体名称</w:t>
            </w:r>
          </w:p>
        </w:tc>
        <w:tc>
          <w:tcPr>
            <w:tcW w:w="2654" w:type="dxa"/>
            <w:gridSpan w:val="2"/>
            <w:tcBorders>
              <w:tl2br w:val="nil"/>
              <w:tr2bl w:val="nil"/>
            </w:tcBorders>
            <w:vAlign w:val="center"/>
          </w:tcPr>
          <w:p w14:paraId="1B3ABACD">
            <w:pPr>
              <w:spacing w:line="240" w:lineRule="exact"/>
              <w:ind w:firstLine="0" w:firstLineChars="0"/>
              <w:jc w:val="center"/>
              <w:rPr>
                <w:rFonts w:hint="default" w:ascii="Times New Roman" w:hAnsi="Times New Roman" w:eastAsia="方正仿宋_GBK" w:cs="Times New Roman"/>
                <w:b w:val="0"/>
                <w:bCs w:val="0"/>
                <w:color w:val="000000"/>
                <w:sz w:val="21"/>
                <w:szCs w:val="15"/>
                <w:highlight w:val="none"/>
              </w:rPr>
            </w:pPr>
            <w:r>
              <w:rPr>
                <w:rFonts w:hint="eastAsia" w:ascii="Times New Roman" w:hAnsi="Times New Roman" w:eastAsia="方正仿宋_GBK" w:cs="Times New Roman"/>
                <w:b w:val="0"/>
                <w:bCs w:val="0"/>
                <w:color w:val="000000"/>
                <w:sz w:val="21"/>
                <w:szCs w:val="15"/>
                <w:lang w:val="en-US" w:eastAsia="zh-CN"/>
              </w:rPr>
              <w:t>宿迁日报</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exact"/>
          <w:jc w:val="center"/>
        </w:trPr>
        <w:tc>
          <w:tcPr>
            <w:tcW w:w="1504" w:type="dxa"/>
            <w:gridSpan w:val="2"/>
            <w:tcBorders>
              <w:tl2br w:val="nil"/>
              <w:tr2bl w:val="nil"/>
            </w:tcBorders>
            <w:vAlign w:val="center"/>
          </w:tcPr>
          <w:p w14:paraId="04B8C047">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z w:val="28"/>
              </w:rPr>
              <w:t>刊播版面</w:t>
            </w:r>
          </w:p>
          <w:p w14:paraId="6F72177F">
            <w:pPr>
              <w:spacing w:line="320" w:lineRule="exact"/>
              <w:jc w:val="center"/>
              <w:rPr>
                <w:rFonts w:hint="default" w:ascii="Times New Roman" w:hAnsi="Times New Roman" w:eastAsia="方正仿宋_GBK" w:cs="Times New Roman"/>
                <w:b/>
                <w:bCs/>
                <w:color w:val="000000"/>
                <w:sz w:val="28"/>
              </w:rPr>
            </w:pPr>
            <w:r>
              <w:rPr>
                <w:rFonts w:hint="default" w:ascii="Times New Roman" w:hAnsi="Times New Roman" w:eastAsia="方正仿宋_GBK" w:cs="Times New Roman"/>
                <w:b/>
                <w:bCs/>
                <w:color w:val="000000"/>
                <w:spacing w:val="-23"/>
                <w:sz w:val="24"/>
                <w:szCs w:val="21"/>
                <w:lang w:eastAsia="zh-CN"/>
              </w:rPr>
              <w:t>（</w:t>
            </w:r>
            <w:r>
              <w:rPr>
                <w:rFonts w:hint="default" w:ascii="Times New Roman" w:hAnsi="Times New Roman" w:eastAsia="方正仿宋_GBK" w:cs="Times New Roman"/>
                <w:b/>
                <w:bCs/>
                <w:color w:val="000000"/>
                <w:spacing w:val="-23"/>
                <w:sz w:val="22"/>
                <w:szCs w:val="21"/>
              </w:rPr>
              <w:t>名称和版次</w:t>
            </w:r>
            <w:r>
              <w:rPr>
                <w:rFonts w:hint="default" w:ascii="Times New Roman" w:hAnsi="Times New Roman" w:eastAsia="方正仿宋_GBK" w:cs="Times New Roman"/>
                <w:b/>
                <w:bCs/>
                <w:color w:val="000000"/>
                <w:spacing w:val="-23"/>
                <w:sz w:val="22"/>
                <w:szCs w:val="21"/>
                <w:lang w:eastAsia="zh-CN"/>
              </w:rPr>
              <w:t>）</w:t>
            </w:r>
          </w:p>
        </w:tc>
        <w:tc>
          <w:tcPr>
            <w:tcW w:w="4088" w:type="dxa"/>
            <w:gridSpan w:val="3"/>
            <w:tcBorders>
              <w:tl2br w:val="nil"/>
              <w:tr2bl w:val="nil"/>
            </w:tcBorders>
            <w:vAlign w:val="center"/>
          </w:tcPr>
          <w:p w14:paraId="06FC5C4D">
            <w:pPr>
              <w:spacing w:line="260" w:lineRule="exact"/>
              <w:jc w:val="center"/>
              <w:rPr>
                <w:rFonts w:hint="default" w:ascii="Times New Roman" w:hAnsi="Times New Roman" w:eastAsia="方正仿宋_GBK" w:cs="Times New Roman"/>
                <w:b w:val="0"/>
                <w:bCs w:val="0"/>
                <w:color w:val="000000"/>
                <w:szCs w:val="21"/>
                <w:lang w:val="en-US" w:eastAsia="zh-CN"/>
              </w:rPr>
            </w:pPr>
            <w:r>
              <w:rPr>
                <w:rFonts w:hint="eastAsia" w:ascii="Times New Roman" w:hAnsi="Times New Roman" w:eastAsia="方正仿宋_GBK" w:cs="Times New Roman"/>
                <w:sz w:val="21"/>
                <w:lang w:val="en-US" w:eastAsia="zh-CN"/>
              </w:rPr>
              <w:t>宿迁日报1版</w:t>
            </w:r>
          </w:p>
        </w:tc>
        <w:tc>
          <w:tcPr>
            <w:tcW w:w="1567" w:type="dxa"/>
            <w:tcBorders>
              <w:tl2br w:val="nil"/>
              <w:tr2bl w:val="nil"/>
            </w:tcBorders>
            <w:vAlign w:val="center"/>
          </w:tcPr>
          <w:p w14:paraId="1A6D9E83">
            <w:pPr>
              <w:spacing w:line="320" w:lineRule="exact"/>
              <w:jc w:val="center"/>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bCs/>
                <w:color w:val="000000"/>
                <w:sz w:val="28"/>
                <w:lang w:val="en-US" w:eastAsia="zh-CN"/>
              </w:rPr>
              <w:t>发布</w:t>
            </w:r>
            <w:r>
              <w:rPr>
                <w:rFonts w:hint="default" w:ascii="Times New Roman" w:hAnsi="Times New Roman" w:eastAsia="方正仿宋_GBK" w:cs="Times New Roman"/>
                <w:b/>
                <w:bCs/>
                <w:color w:val="000000"/>
                <w:sz w:val="28"/>
              </w:rPr>
              <w:t>日期</w:t>
            </w:r>
          </w:p>
        </w:tc>
        <w:tc>
          <w:tcPr>
            <w:tcW w:w="2654" w:type="dxa"/>
            <w:gridSpan w:val="2"/>
            <w:tcBorders>
              <w:tl2br w:val="nil"/>
              <w:tr2bl w:val="nil"/>
            </w:tcBorders>
            <w:vAlign w:val="center"/>
          </w:tcPr>
          <w:p w14:paraId="7A66C554">
            <w:pPr>
              <w:spacing w:line="260" w:lineRule="exact"/>
              <w:rPr>
                <w:rFonts w:hint="eastAsia" w:ascii="Times New Roman" w:hAnsi="Times New Roman" w:eastAsia="方正仿宋_GBK" w:cs="Times New Roman"/>
                <w:b w:val="0"/>
                <w:bCs w:val="0"/>
                <w:color w:val="000000"/>
                <w:szCs w:val="21"/>
                <w:lang w:eastAsia="zh-CN"/>
              </w:rPr>
            </w:pPr>
            <w:r>
              <w:rPr>
                <w:rFonts w:hint="eastAsia" w:ascii="Times New Roman" w:hAnsi="Times New Roman" w:eastAsia="方正仿宋_GBK" w:cs="Times New Roman"/>
                <w:b w:val="0"/>
                <w:bCs w:val="0"/>
                <w:color w:val="000000"/>
                <w:sz w:val="21"/>
                <w:szCs w:val="15"/>
                <w:lang w:val="en-US" w:eastAsia="zh-CN"/>
              </w:rPr>
              <w:t xml:space="preserve"> 2023年</w:t>
            </w:r>
            <w:r>
              <w:rPr>
                <w:rFonts w:hint="eastAsia" w:ascii="Times New Roman" w:hAnsi="Times New Roman" w:eastAsia="方正仿宋_GBK" w:cs="Times New Roman"/>
                <w:sz w:val="21"/>
                <w:lang w:val="en-US" w:eastAsia="zh-CN"/>
              </w:rPr>
              <w:t>11月30日</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778" w:hRule="atLeast"/>
          <w:jc w:val="center"/>
        </w:trPr>
        <w:tc>
          <w:tcPr>
            <w:tcW w:w="1504" w:type="dxa"/>
            <w:gridSpan w:val="2"/>
            <w:tcBorders>
              <w:tl2br w:val="nil"/>
              <w:tr2bl w:val="nil"/>
            </w:tcBorders>
            <w:vAlign w:val="center"/>
          </w:tcPr>
          <w:p w14:paraId="2FC99FA4">
            <w:pPr>
              <w:spacing w:line="320" w:lineRule="exact"/>
              <w:jc w:val="center"/>
              <w:rPr>
                <w:rFonts w:hint="default" w:ascii="Times New Roman" w:hAnsi="Times New Roman" w:eastAsia="方正仿宋_GBK" w:cs="Times New Roman"/>
                <w:b/>
                <w:bCs/>
                <w:color w:val="000000"/>
                <w:sz w:val="24"/>
                <w:szCs w:val="21"/>
                <w:lang w:eastAsia="zh-CN"/>
              </w:rPr>
            </w:pPr>
            <w:r>
              <w:rPr>
                <w:rFonts w:hint="default" w:ascii="Times New Roman" w:hAnsi="Times New Roman" w:eastAsia="方正仿宋_GBK" w:cs="Times New Roman"/>
                <w:b/>
                <w:bCs/>
                <w:color w:val="000000"/>
                <w:sz w:val="24"/>
                <w:szCs w:val="21"/>
              </w:rPr>
              <w:t>新媒体</w:t>
            </w:r>
            <w:r>
              <w:rPr>
                <w:rFonts w:hint="default" w:ascii="Times New Roman" w:hAnsi="Times New Roman" w:eastAsia="方正仿宋_GBK" w:cs="Times New Roman"/>
                <w:b/>
                <w:bCs/>
                <w:color w:val="000000"/>
                <w:sz w:val="24"/>
                <w:szCs w:val="21"/>
                <w:lang w:val="en-US"/>
              </w:rPr>
              <w:t>作品</w:t>
            </w:r>
          </w:p>
          <w:p w14:paraId="32F6A552">
            <w:pPr>
              <w:spacing w:line="320" w:lineRule="exact"/>
              <w:jc w:val="center"/>
              <w:rPr>
                <w:rFonts w:hint="default" w:ascii="Times New Roman" w:hAnsi="Times New Roman" w:eastAsia="方正仿宋_GBK" w:cs="Times New Roman"/>
                <w:b/>
                <w:bCs/>
                <w:color w:val="000000"/>
                <w:szCs w:val="21"/>
                <w:lang w:eastAsia="zh-CN"/>
              </w:rPr>
            </w:pPr>
            <w:r>
              <w:rPr>
                <w:rFonts w:hint="default" w:ascii="Times New Roman" w:hAnsi="Times New Roman" w:eastAsia="方正仿宋_GBK" w:cs="Times New Roman"/>
                <w:b/>
                <w:bCs/>
                <w:color w:val="000000"/>
                <w:sz w:val="24"/>
                <w:szCs w:val="21"/>
                <w:lang w:val="en-US" w:eastAsia="zh-CN"/>
              </w:rPr>
              <w:t>链接</w:t>
            </w:r>
          </w:p>
        </w:tc>
        <w:tc>
          <w:tcPr>
            <w:tcW w:w="8309" w:type="dxa"/>
            <w:gridSpan w:val="6"/>
            <w:tcBorders>
              <w:tl2br w:val="nil"/>
              <w:tr2bl w:val="nil"/>
            </w:tcBorders>
            <w:vAlign w:val="center"/>
          </w:tcPr>
          <w:p w14:paraId="56BC38BD">
            <w:pPr>
              <w:spacing w:line="260" w:lineRule="exact"/>
              <w:rPr>
                <w:rFonts w:hint="default" w:ascii="Times New Roman" w:hAnsi="Times New Roman" w:eastAsia="方正仿宋_GBK" w:cs="Times New Roman"/>
                <w:sz w:val="22"/>
                <w:lang w:val="en-US" w:eastAsia="zh-CN"/>
              </w:rPr>
            </w:pP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4096" w:hRule="atLeast"/>
          <w:jc w:val="center"/>
        </w:trPr>
        <w:tc>
          <w:tcPr>
            <w:tcW w:w="992" w:type="dxa"/>
            <w:tcBorders>
              <w:tl2br w:val="nil"/>
              <w:tr2bl w:val="nil"/>
            </w:tcBorders>
            <w:vAlign w:val="center"/>
          </w:tcPr>
          <w:p w14:paraId="3869C97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作</w:t>
            </w:r>
          </w:p>
          <w:p w14:paraId="4D61922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品</w:t>
            </w:r>
          </w:p>
          <w:p w14:paraId="33317C93">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简</w:t>
            </w:r>
          </w:p>
          <w:p w14:paraId="55AC6290">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介</w:t>
            </w:r>
          </w:p>
        </w:tc>
        <w:tc>
          <w:tcPr>
            <w:tcW w:w="8821" w:type="dxa"/>
            <w:gridSpan w:val="7"/>
            <w:tcBorders>
              <w:tl2br w:val="nil"/>
              <w:tr2bl w:val="nil"/>
            </w:tcBorders>
            <w:vAlign w:val="center"/>
          </w:tcPr>
          <w:p w14:paraId="508DF9C4">
            <w:pPr>
              <w:ind w:firstLine="420" w:firstLineChars="200"/>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b w:val="0"/>
                <w:bCs w:val="0"/>
                <w:color w:val="000000"/>
                <w:sz w:val="21"/>
                <w:szCs w:val="21"/>
                <w:lang w:val="en-US" w:eastAsia="zh-CN"/>
              </w:rPr>
              <w:t>设施农业是未来农业的发展趋势</w:t>
            </w:r>
            <w:r>
              <w:rPr>
                <w:rFonts w:hint="eastAsia" w:ascii="Times New Roman" w:hAnsi="Times New Roman" w:eastAsia="方正仿宋_GBK" w:cs="Times New Roman"/>
                <w:b w:val="0"/>
                <w:bCs w:val="0"/>
                <w:color w:val="000000"/>
                <w:sz w:val="21"/>
                <w:szCs w:val="21"/>
                <w:lang w:val="en-US" w:eastAsia="zh-CN"/>
              </w:rPr>
              <w:t>，但</w:t>
            </w:r>
            <w:r>
              <w:rPr>
                <w:rFonts w:hint="default" w:ascii="Times New Roman" w:hAnsi="Times New Roman" w:eastAsia="方正仿宋_GBK" w:cs="Times New Roman"/>
                <w:b w:val="0"/>
                <w:bCs w:val="0"/>
                <w:color w:val="000000"/>
                <w:sz w:val="21"/>
                <w:szCs w:val="21"/>
                <w:lang w:val="en-US" w:eastAsia="zh-CN"/>
              </w:rPr>
              <w:t>融资问题</w:t>
            </w:r>
            <w:r>
              <w:rPr>
                <w:rFonts w:hint="eastAsia" w:ascii="Times New Roman" w:hAnsi="Times New Roman" w:eastAsia="方正仿宋_GBK" w:cs="Times New Roman"/>
                <w:b w:val="0"/>
                <w:bCs w:val="0"/>
                <w:color w:val="000000"/>
                <w:sz w:val="21"/>
                <w:szCs w:val="21"/>
                <w:lang w:val="en-US" w:eastAsia="zh-CN"/>
              </w:rPr>
              <w:t>一直限制其发展的堵点</w:t>
            </w:r>
            <w:r>
              <w:rPr>
                <w:rFonts w:hint="default" w:ascii="Times New Roman" w:hAnsi="Times New Roman" w:eastAsia="方正仿宋_GBK" w:cs="Times New Roman"/>
                <w:b w:val="0"/>
                <w:bCs w:val="0"/>
                <w:color w:val="000000"/>
                <w:sz w:val="21"/>
                <w:szCs w:val="21"/>
                <w:lang w:val="en-US" w:eastAsia="zh-CN"/>
              </w:rPr>
              <w:t>。立足现代农业发展需求，2021年，我市聚焦“确权、赋权、活权”，突破传统农业物权概念，创新设置了农业设施产权，将农业设施纳入抵押物范围，在全</w:t>
            </w:r>
            <w:r>
              <w:rPr>
                <w:rFonts w:hint="eastAsia" w:ascii="Times New Roman" w:hAnsi="Times New Roman" w:eastAsia="方正仿宋_GBK" w:cs="Times New Roman"/>
                <w:b w:val="0"/>
                <w:bCs w:val="0"/>
                <w:color w:val="000000"/>
                <w:sz w:val="21"/>
                <w:szCs w:val="21"/>
                <w:lang w:val="en-US" w:eastAsia="zh-CN"/>
              </w:rPr>
              <w:t>国</w:t>
            </w:r>
            <w:r>
              <w:rPr>
                <w:rFonts w:hint="default" w:ascii="Times New Roman" w:hAnsi="Times New Roman" w:eastAsia="方正仿宋_GBK" w:cs="Times New Roman"/>
                <w:b w:val="0"/>
                <w:bCs w:val="0"/>
                <w:color w:val="000000"/>
                <w:sz w:val="21"/>
                <w:szCs w:val="21"/>
                <w:lang w:val="en-US" w:eastAsia="zh-CN"/>
              </w:rPr>
              <w:t>率先实施农业设施确权登记和抵押贷。</w:t>
            </w:r>
          </w:p>
          <w:p w14:paraId="78839D9F">
            <w:pPr>
              <w:ind w:firstLine="420" w:firstLineChars="200"/>
              <w:rPr>
                <w:rFonts w:hint="default" w:ascii="Times New Roman" w:hAnsi="Times New Roman" w:eastAsia="方正仿宋_GBK" w:cs="Times New Roman"/>
                <w:b w:val="0"/>
                <w:bCs w:val="0"/>
                <w:color w:val="000000"/>
                <w:sz w:val="21"/>
                <w:szCs w:val="21"/>
                <w:lang w:val="en-US" w:eastAsia="zh-CN"/>
              </w:rPr>
            </w:pPr>
            <w:r>
              <w:rPr>
                <w:rFonts w:hint="default" w:ascii="Times New Roman" w:hAnsi="Times New Roman" w:eastAsia="方正仿宋_GBK" w:cs="Times New Roman"/>
                <w:b w:val="0"/>
                <w:bCs w:val="0"/>
                <w:color w:val="000000"/>
                <w:sz w:val="21"/>
                <w:szCs w:val="21"/>
                <w:lang w:val="en-US" w:eastAsia="zh-CN"/>
              </w:rPr>
              <w:t>记者首次得知此</w:t>
            </w:r>
            <w:bookmarkStart w:id="0" w:name="_GoBack"/>
            <w:bookmarkEnd w:id="0"/>
            <w:r>
              <w:rPr>
                <w:rFonts w:hint="default" w:ascii="Times New Roman" w:hAnsi="Times New Roman" w:eastAsia="方正仿宋_GBK" w:cs="Times New Roman"/>
                <w:b w:val="0"/>
                <w:bCs w:val="0"/>
                <w:color w:val="000000"/>
                <w:sz w:val="21"/>
                <w:szCs w:val="21"/>
                <w:lang w:val="en-US" w:eastAsia="zh-CN"/>
              </w:rPr>
              <w:t>项改革是</w:t>
            </w:r>
            <w:r>
              <w:rPr>
                <w:rFonts w:hint="eastAsia" w:ascii="Times New Roman" w:hAnsi="Times New Roman" w:eastAsia="方正仿宋_GBK" w:cs="Times New Roman"/>
                <w:b w:val="0"/>
                <w:bCs w:val="0"/>
                <w:color w:val="000000"/>
                <w:sz w:val="21"/>
                <w:szCs w:val="21"/>
                <w:lang w:val="en-US" w:eastAsia="zh-CN"/>
              </w:rPr>
              <w:t>2023</w:t>
            </w:r>
            <w:r>
              <w:rPr>
                <w:rFonts w:hint="default" w:ascii="Times New Roman" w:hAnsi="Times New Roman" w:eastAsia="方正仿宋_GBK" w:cs="Times New Roman"/>
                <w:b w:val="0"/>
                <w:bCs w:val="0"/>
                <w:color w:val="000000"/>
                <w:sz w:val="21"/>
                <w:szCs w:val="21"/>
                <w:lang w:val="en-US" w:eastAsia="zh-CN"/>
              </w:rPr>
              <w:t>年9月，省委农办、省农业农村厅</w:t>
            </w:r>
            <w:r>
              <w:rPr>
                <w:rFonts w:hint="eastAsia" w:ascii="Times New Roman" w:hAnsi="Times New Roman" w:eastAsia="方正仿宋_GBK" w:cs="Times New Roman"/>
                <w:b w:val="0"/>
                <w:bCs w:val="0"/>
                <w:color w:val="000000"/>
                <w:sz w:val="21"/>
                <w:szCs w:val="21"/>
                <w:lang w:val="en-US" w:eastAsia="zh-CN"/>
              </w:rPr>
              <w:t>等</w:t>
            </w:r>
            <w:r>
              <w:rPr>
                <w:rFonts w:hint="default" w:ascii="Times New Roman" w:hAnsi="Times New Roman" w:eastAsia="方正仿宋_GBK" w:cs="Times New Roman"/>
                <w:b w:val="0"/>
                <w:bCs w:val="0"/>
                <w:color w:val="000000"/>
                <w:sz w:val="21"/>
                <w:szCs w:val="21"/>
                <w:lang w:val="en-US" w:eastAsia="zh-CN"/>
              </w:rPr>
              <w:t>联合发文，在全省推广宿迁做法。但当时并没有第一时间选择报道，而是选择深入三县两区的农企做进一步了解，仔细探寻改革对企业发展的帮助，改革推进中还存在那些困难等，</w:t>
            </w:r>
            <w:r>
              <w:rPr>
                <w:rFonts w:hint="eastAsia" w:ascii="Times New Roman" w:hAnsi="Times New Roman" w:eastAsia="方正仿宋_GBK" w:cs="Times New Roman"/>
                <w:b w:val="0"/>
                <w:bCs w:val="0"/>
                <w:color w:val="000000"/>
                <w:sz w:val="21"/>
                <w:szCs w:val="21"/>
                <w:lang w:val="en-US" w:eastAsia="zh-CN"/>
              </w:rPr>
              <w:t>2023年</w:t>
            </w:r>
            <w:r>
              <w:rPr>
                <w:rFonts w:hint="default" w:ascii="Times New Roman" w:hAnsi="Times New Roman" w:eastAsia="方正仿宋_GBK" w:cs="Times New Roman"/>
                <w:b w:val="0"/>
                <w:bCs w:val="0"/>
                <w:color w:val="000000"/>
                <w:sz w:val="21"/>
                <w:szCs w:val="21"/>
                <w:lang w:val="en-US" w:eastAsia="zh-CN"/>
              </w:rPr>
              <w:t>11月，农业农村部计划财务司到我市调研农业设施确权颁证赋能情况，记者参与了全程的调研，进一步加深了对改革情况的认识，调研结束后，便及时撰稿发稿，将宿迁的先进经验和做法呈现出来，为全</w:t>
            </w:r>
            <w:r>
              <w:rPr>
                <w:rFonts w:hint="eastAsia" w:ascii="Times New Roman" w:hAnsi="Times New Roman" w:eastAsia="方正仿宋_GBK" w:cs="Times New Roman"/>
                <w:b w:val="0"/>
                <w:bCs w:val="0"/>
                <w:color w:val="000000"/>
                <w:sz w:val="21"/>
                <w:szCs w:val="21"/>
                <w:lang w:val="en-US" w:eastAsia="zh-CN"/>
              </w:rPr>
              <w:t>国</w:t>
            </w:r>
            <w:r>
              <w:rPr>
                <w:rFonts w:hint="default" w:ascii="Times New Roman" w:hAnsi="Times New Roman" w:eastAsia="方正仿宋_GBK" w:cs="Times New Roman"/>
                <w:b w:val="0"/>
                <w:bCs w:val="0"/>
                <w:color w:val="000000"/>
                <w:sz w:val="21"/>
                <w:szCs w:val="21"/>
                <w:lang w:val="en-US" w:eastAsia="zh-CN"/>
              </w:rPr>
              <w:t>提供了一种可供借鉴、完善、推广的新型农业融资模式。</w:t>
            </w:r>
          </w:p>
          <w:p w14:paraId="56112B38">
            <w:pPr>
              <w:ind w:firstLine="420" w:firstLineChars="200"/>
              <w:rPr>
                <w:rFonts w:hint="default" w:ascii="Times New Roman" w:hAnsi="Times New Roman" w:eastAsia="方正仿宋_GBK" w:cs="Times New Roman"/>
                <w:b w:val="0"/>
                <w:bCs w:val="0"/>
                <w:color w:val="000000"/>
                <w:w w:val="95"/>
                <w:sz w:val="21"/>
                <w:szCs w:val="21"/>
              </w:rPr>
            </w:pPr>
            <w:r>
              <w:rPr>
                <w:rFonts w:hint="eastAsia" w:ascii="Times New Roman" w:hAnsi="Times New Roman" w:eastAsia="方正仿宋_GBK" w:cs="Times New Roman"/>
                <w:sz w:val="21"/>
                <w:lang w:val="en-US" w:eastAsia="zh-CN"/>
              </w:rPr>
              <w:t>作品刊发后，除报社自身融媒体平台，还被中国江苏网、新浪网等数十家新闻网站转载，产生较好的社会影响，市农业农村局告诉记者，报道刊发后泰兴市、河南省确山县、灌南县等农业农村局本部门先后组团到宿迁专题调研。</w:t>
            </w:r>
            <w:r>
              <w:rPr>
                <w:rFonts w:hint="eastAsia" w:ascii="Times New Roman" w:hAnsi="Times New Roman" w:eastAsia="方正仿宋_GBK" w:cs="Times New Roman"/>
                <w:b w:val="0"/>
                <w:bCs w:val="0"/>
                <w:color w:val="000000"/>
                <w:sz w:val="21"/>
                <w:szCs w:val="21"/>
                <w:lang w:val="en-US" w:eastAsia="zh-CN"/>
              </w:rPr>
              <w:t>这项最早源于宿迁的改革工作也于2025年12月，被中国人民银行办公厅、农业农村部办公厅、金融监管总局办公厅联合发文在全国推广。</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812" w:hRule="exact"/>
          <w:jc w:val="center"/>
        </w:trPr>
        <w:tc>
          <w:tcPr>
            <w:tcW w:w="992" w:type="dxa"/>
            <w:vMerge w:val="restart"/>
            <w:tcBorders>
              <w:tl2br w:val="nil"/>
              <w:tr2bl w:val="nil"/>
            </w:tcBorders>
            <w:vAlign w:val="center"/>
          </w:tcPr>
          <w:p w14:paraId="7BFC70BA">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传</w:t>
            </w:r>
          </w:p>
          <w:p w14:paraId="0F6B8EA2">
            <w:pPr>
              <w:spacing w:line="320" w:lineRule="exact"/>
              <w:jc w:val="center"/>
              <w:rPr>
                <w:rFonts w:hint="default" w:ascii="Times New Roman" w:hAnsi="Times New Roman" w:eastAsia="方正仿宋_GBK" w:cs="Times New Roman"/>
                <w:b/>
                <w:bCs/>
                <w:color w:val="000000"/>
                <w:sz w:val="28"/>
                <w:szCs w:val="22"/>
                <w:lang w:val="en-US" w:eastAsia="zh-CN"/>
              </w:rPr>
            </w:pPr>
            <w:r>
              <w:rPr>
                <w:rFonts w:hint="default" w:ascii="Times New Roman" w:hAnsi="Times New Roman" w:eastAsia="方正仿宋_GBK" w:cs="Times New Roman"/>
                <w:b/>
                <w:bCs/>
                <w:color w:val="000000"/>
                <w:sz w:val="28"/>
                <w:szCs w:val="22"/>
              </w:rPr>
              <w:t>播</w:t>
            </w:r>
          </w:p>
          <w:p w14:paraId="1A867DFC">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数</w:t>
            </w:r>
          </w:p>
          <w:p w14:paraId="0EFA37B9">
            <w:pPr>
              <w:spacing w:line="320" w:lineRule="exact"/>
              <w:jc w:val="center"/>
              <w:rPr>
                <w:rFonts w:hint="default" w:ascii="Times New Roman" w:hAnsi="Times New Roman" w:eastAsia="方正仿宋_GBK" w:cs="Times New Roman"/>
                <w:b/>
                <w:bCs/>
                <w:color w:val="000000"/>
                <w:sz w:val="28"/>
                <w:szCs w:val="22"/>
              </w:rPr>
            </w:pPr>
            <w:r>
              <w:rPr>
                <w:rFonts w:hint="default" w:ascii="Times New Roman" w:hAnsi="Times New Roman" w:eastAsia="方正仿宋_GBK" w:cs="Times New Roman"/>
                <w:b/>
                <w:bCs/>
                <w:color w:val="000000"/>
                <w:sz w:val="28"/>
                <w:szCs w:val="22"/>
              </w:rPr>
              <w:t>据</w:t>
            </w:r>
          </w:p>
        </w:tc>
        <w:tc>
          <w:tcPr>
            <w:tcW w:w="1400" w:type="dxa"/>
            <w:gridSpan w:val="2"/>
            <w:tcBorders>
              <w:tl2br w:val="nil"/>
              <w:tr2bl w:val="nil"/>
            </w:tcBorders>
            <w:vAlign w:val="center"/>
          </w:tcPr>
          <w:p w14:paraId="436EEDCF">
            <w:pPr>
              <w:spacing w:line="240" w:lineRule="exact"/>
              <w:jc w:val="center"/>
              <w:rPr>
                <w:rFonts w:hint="default" w:ascii="Times New Roman" w:hAnsi="Times New Roman" w:eastAsia="方正仿宋_GBK" w:cs="Times New Roman"/>
                <w:b w:val="0"/>
                <w:bCs w:val="0"/>
                <w:color w:val="000000"/>
                <w:sz w:val="24"/>
                <w:szCs w:val="18"/>
                <w:lang w:val="en-US" w:eastAsia="zh-CN"/>
              </w:rPr>
            </w:pPr>
            <w:r>
              <w:rPr>
                <w:rFonts w:hint="default" w:ascii="Times New Roman" w:hAnsi="Times New Roman" w:eastAsia="华文楷体" w:cs="Times New Roman"/>
                <w:b/>
                <w:bCs/>
                <w:color w:val="000000"/>
                <w:kern w:val="2"/>
                <w:sz w:val="21"/>
                <w:szCs w:val="21"/>
                <w:lang w:val="en-US" w:eastAsia="zh-CN" w:bidi="ar-SA"/>
              </w:rPr>
              <w:t>全网传播量最高平台发布链接</w:t>
            </w:r>
          </w:p>
        </w:tc>
        <w:tc>
          <w:tcPr>
            <w:tcW w:w="7421" w:type="dxa"/>
            <w:gridSpan w:val="5"/>
            <w:tcBorders>
              <w:tl2br w:val="nil"/>
              <w:tr2bl w:val="nil"/>
            </w:tcBorders>
            <w:vAlign w:val="center"/>
          </w:tcPr>
          <w:p w14:paraId="399A68F2">
            <w:pPr>
              <w:spacing w:line="280" w:lineRule="exact"/>
              <w:rPr>
                <w:rFonts w:hint="default" w:ascii="Times New Roman" w:hAnsi="Times New Roman" w:eastAsia="方正仿宋_GBK" w:cs="Times New Roman"/>
                <w:sz w:val="22"/>
                <w:lang w:val="en-US" w:eastAsia="zh-CN"/>
              </w:rPr>
            </w:pP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482" w:hRule="exact"/>
          <w:jc w:val="center"/>
        </w:trPr>
        <w:tc>
          <w:tcPr>
            <w:tcW w:w="992" w:type="dxa"/>
            <w:vMerge w:val="continue"/>
            <w:tcBorders>
              <w:tl2br w:val="nil"/>
              <w:tr2bl w:val="nil"/>
            </w:tcBorders>
            <w:vAlign w:val="center"/>
          </w:tcPr>
          <w:p w14:paraId="40CAB92D">
            <w:pPr>
              <w:spacing w:line="320" w:lineRule="exact"/>
              <w:jc w:val="center"/>
              <w:rPr>
                <w:rFonts w:hint="default" w:ascii="Times New Roman" w:hAnsi="Times New Roman" w:eastAsia="方正仿宋_GBK" w:cs="Times New Roman"/>
                <w:b/>
                <w:bCs/>
                <w:color w:val="000000"/>
                <w:sz w:val="28"/>
              </w:rPr>
            </w:pPr>
          </w:p>
        </w:tc>
        <w:tc>
          <w:tcPr>
            <w:tcW w:w="1400" w:type="dxa"/>
            <w:gridSpan w:val="2"/>
            <w:tcBorders>
              <w:tl2br w:val="nil"/>
              <w:tr2bl w:val="nil"/>
            </w:tcBorders>
            <w:shd w:val="clear" w:color="auto" w:fill="auto"/>
            <w:vAlign w:val="center"/>
          </w:tcPr>
          <w:p w14:paraId="359C1F0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0CD586AA">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lang w:val="en-US" w:eastAsia="zh-CN"/>
              </w:rPr>
              <w:t>传播量</w:t>
            </w:r>
          </w:p>
        </w:tc>
        <w:tc>
          <w:tcPr>
            <w:tcW w:w="1323" w:type="dxa"/>
            <w:tcBorders>
              <w:tl2br w:val="nil"/>
              <w:tr2bl w:val="nil"/>
            </w:tcBorders>
            <w:shd w:val="clear" w:color="auto" w:fill="auto"/>
            <w:vAlign w:val="center"/>
          </w:tcPr>
          <w:p w14:paraId="769BF1DC">
            <w:pPr>
              <w:spacing w:line="240" w:lineRule="exact"/>
              <w:rPr>
                <w:rFonts w:hint="default" w:ascii="Times New Roman" w:hAnsi="Times New Roman" w:eastAsia="方正仿宋_GBK" w:cs="Times New Roman"/>
                <w:b w:val="0"/>
                <w:bCs w:val="0"/>
                <w:color w:val="000000"/>
                <w:kern w:val="2"/>
                <w:sz w:val="21"/>
                <w:szCs w:val="21"/>
                <w:lang w:val="en-US" w:eastAsia="zh-CN" w:bidi="ar-SA"/>
              </w:rPr>
            </w:pPr>
          </w:p>
        </w:tc>
        <w:tc>
          <w:tcPr>
            <w:tcW w:w="1877" w:type="dxa"/>
            <w:tcBorders>
              <w:tl2br w:val="nil"/>
              <w:tr2bl w:val="nil"/>
            </w:tcBorders>
            <w:shd w:val="clear" w:color="auto" w:fill="auto"/>
            <w:vAlign w:val="center"/>
          </w:tcPr>
          <w:p w14:paraId="40B3F7F4">
            <w:pPr>
              <w:spacing w:line="240" w:lineRule="exact"/>
              <w:jc w:val="center"/>
              <w:rPr>
                <w:rFonts w:hint="default" w:ascii="Times New Roman" w:hAnsi="Times New Roman" w:eastAsia="方正楷体_GBK" w:cs="Times New Roman"/>
                <w:b/>
                <w:bCs/>
                <w:color w:val="000000"/>
                <w:sz w:val="21"/>
                <w:szCs w:val="21"/>
                <w:lang w:val="en-US" w:eastAsia="zh-CN"/>
              </w:rPr>
            </w:pPr>
            <w:r>
              <w:rPr>
                <w:rFonts w:hint="default" w:ascii="Times New Roman" w:hAnsi="Times New Roman" w:eastAsia="方正楷体_GBK" w:cs="Times New Roman"/>
                <w:b/>
                <w:bCs/>
                <w:color w:val="000000"/>
                <w:sz w:val="21"/>
                <w:szCs w:val="21"/>
                <w:lang w:val="en-US" w:eastAsia="zh-CN"/>
              </w:rPr>
              <w:t>该平台</w:t>
            </w:r>
          </w:p>
          <w:p w14:paraId="579A7769">
            <w:pPr>
              <w:spacing w:line="24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default" w:ascii="Times New Roman" w:hAnsi="Times New Roman" w:eastAsia="方正楷体_GBK" w:cs="Times New Roman"/>
                <w:b/>
                <w:bCs/>
                <w:color w:val="000000"/>
                <w:sz w:val="21"/>
                <w:szCs w:val="21"/>
              </w:rPr>
              <w:t>互动</w:t>
            </w:r>
            <w:r>
              <w:rPr>
                <w:rFonts w:hint="default" w:ascii="Times New Roman" w:hAnsi="Times New Roman" w:eastAsia="方正楷体_GBK" w:cs="Times New Roman"/>
                <w:b/>
                <w:bCs/>
                <w:color w:val="000000"/>
                <w:sz w:val="21"/>
                <w:szCs w:val="21"/>
                <w:lang w:val="en-US" w:eastAsia="zh-CN"/>
              </w:rPr>
              <w:t>量</w:t>
            </w:r>
          </w:p>
        </w:tc>
        <w:tc>
          <w:tcPr>
            <w:tcW w:w="1567" w:type="dxa"/>
            <w:tcBorders>
              <w:tl2br w:val="nil"/>
              <w:tr2bl w:val="nil"/>
            </w:tcBorders>
            <w:vAlign w:val="center"/>
          </w:tcPr>
          <w:p w14:paraId="5BE3E5F6">
            <w:pPr>
              <w:spacing w:line="240" w:lineRule="exact"/>
              <w:rPr>
                <w:rFonts w:hint="default" w:ascii="Times New Roman" w:hAnsi="Times New Roman" w:eastAsia="方正仿宋_GBK" w:cs="Times New Roman"/>
                <w:b w:val="0"/>
                <w:bCs w:val="0"/>
                <w:color w:val="000000"/>
                <w:sz w:val="21"/>
                <w:szCs w:val="21"/>
                <w:lang w:val="en-US" w:eastAsia="zh-CN"/>
              </w:rPr>
            </w:pPr>
          </w:p>
        </w:tc>
        <w:tc>
          <w:tcPr>
            <w:tcW w:w="1122" w:type="dxa"/>
            <w:tcBorders>
              <w:tl2br w:val="nil"/>
              <w:tr2bl w:val="nil"/>
            </w:tcBorders>
            <w:vAlign w:val="center"/>
          </w:tcPr>
          <w:p w14:paraId="50FA0102">
            <w:pPr>
              <w:spacing w:line="240" w:lineRule="exact"/>
              <w:rPr>
                <w:rFonts w:hint="default" w:ascii="Times New Roman" w:hAnsi="Times New Roman" w:eastAsia="方正仿宋_GBK" w:cs="Times New Roman"/>
                <w:b w:val="0"/>
                <w:bCs w:val="0"/>
                <w:color w:val="000000"/>
                <w:sz w:val="21"/>
                <w:szCs w:val="21"/>
              </w:rPr>
            </w:pPr>
            <w:r>
              <w:rPr>
                <w:rFonts w:hint="default" w:ascii="Times New Roman" w:hAnsi="Times New Roman" w:eastAsia="方正楷体_GBK" w:cs="Times New Roman"/>
                <w:b/>
                <w:bCs/>
                <w:color w:val="000000"/>
                <w:sz w:val="21"/>
                <w:szCs w:val="21"/>
                <w:lang w:val="en-US" w:eastAsia="zh-CN"/>
              </w:rPr>
              <w:t>全网总传播量（万）</w:t>
            </w:r>
          </w:p>
        </w:tc>
        <w:tc>
          <w:tcPr>
            <w:tcW w:w="1532" w:type="dxa"/>
            <w:tcBorders>
              <w:tl2br w:val="nil"/>
              <w:tr2bl w:val="nil"/>
            </w:tcBorders>
            <w:vAlign w:val="center"/>
          </w:tcPr>
          <w:p w14:paraId="03DD5D6F">
            <w:pPr>
              <w:spacing w:line="240" w:lineRule="exact"/>
              <w:rPr>
                <w:rFonts w:hint="default" w:ascii="Times New Roman" w:hAnsi="Times New Roman" w:eastAsia="方正仿宋_GBK" w:cs="Times New Roman"/>
                <w:b w:val="0"/>
                <w:bCs w:val="0"/>
                <w:color w:val="000000"/>
                <w:sz w:val="21"/>
                <w:szCs w:val="21"/>
              </w:rPr>
            </w:pPr>
          </w:p>
        </w:tc>
      </w:tr>
      <w:tr w14:paraId="4615D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459" w:hRule="exact"/>
          <w:jc w:val="center"/>
        </w:trPr>
        <w:tc>
          <w:tcPr>
            <w:tcW w:w="1504" w:type="dxa"/>
            <w:gridSpan w:val="2"/>
            <w:tcBorders>
              <w:right w:val="single" w:color="auto" w:sz="4" w:space="0"/>
              <w:tl2br w:val="nil"/>
              <w:tr2bl w:val="nil"/>
            </w:tcBorders>
            <w:vAlign w:val="center"/>
          </w:tcPr>
          <w:p w14:paraId="6C843C77">
            <w:pPr>
              <w:spacing w:line="320" w:lineRule="exact"/>
              <w:jc w:val="center"/>
              <w:rPr>
                <w:rFonts w:hint="default" w:ascii="Times New Roman" w:hAnsi="Times New Roman" w:eastAsia="方正仿宋_GBK" w:cs="Times New Roman"/>
                <w:b w:val="0"/>
                <w:bCs w:val="0"/>
                <w:color w:val="000000"/>
                <w:kern w:val="2"/>
                <w:sz w:val="21"/>
                <w:szCs w:val="21"/>
                <w:lang w:val="en-US" w:eastAsia="zh-CN" w:bidi="ar-SA"/>
              </w:rPr>
            </w:pPr>
            <w:r>
              <w:rPr>
                <w:rFonts w:hint="eastAsia" w:ascii="Times New Roman" w:hAnsi="Times New Roman" w:eastAsia="方正仿宋_GBK" w:cs="Times New Roman"/>
                <w:b/>
                <w:bCs/>
                <w:color w:val="000000"/>
                <w:sz w:val="28"/>
                <w:szCs w:val="22"/>
                <w:lang w:val="en-US" w:eastAsia="zh-CN"/>
              </w:rPr>
              <w:t>公示链接</w:t>
            </w:r>
          </w:p>
        </w:tc>
        <w:tc>
          <w:tcPr>
            <w:tcW w:w="8309" w:type="dxa"/>
            <w:gridSpan w:val="6"/>
            <w:tcBorders>
              <w:left w:val="single" w:color="auto" w:sz="4" w:space="0"/>
              <w:tl2br w:val="nil"/>
              <w:tr2bl w:val="nil"/>
            </w:tcBorders>
            <w:vAlign w:val="center"/>
          </w:tcPr>
          <w:p w14:paraId="256F28C5">
            <w:pPr>
              <w:spacing w:line="240" w:lineRule="exact"/>
              <w:rPr>
                <w:rFonts w:hint="default" w:ascii="Times New Roman" w:hAnsi="Times New Roman" w:eastAsia="方正仿宋_GBK" w:cs="Times New Roman"/>
                <w:b w:val="0"/>
                <w:bCs w:val="0"/>
                <w:color w:val="000000"/>
                <w:sz w:val="21"/>
                <w:szCs w:val="21"/>
                <w:lang w:val="en-US" w:eastAsia="zh-CN"/>
              </w:rPr>
            </w:pP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2503" w:hRule="exact"/>
          <w:jc w:val="center"/>
        </w:trPr>
        <w:tc>
          <w:tcPr>
            <w:tcW w:w="992" w:type="dxa"/>
            <w:tcBorders>
              <w:tl2br w:val="nil"/>
              <w:tr2bl w:val="nil"/>
            </w:tcBorders>
            <w:vAlign w:val="center"/>
          </w:tcPr>
          <w:p w14:paraId="7C530D9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 xml:space="preserve">  </w:t>
            </w:r>
          </w:p>
          <w:p w14:paraId="2AF5CE53">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推</w:t>
            </w:r>
          </w:p>
          <w:p w14:paraId="70360EC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荐</w:t>
            </w:r>
          </w:p>
          <w:p w14:paraId="25BBAAD6">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理</w:t>
            </w:r>
          </w:p>
          <w:p w14:paraId="1F394BD1">
            <w:pPr>
              <w:widowControl w:val="0"/>
              <w:spacing w:line="320" w:lineRule="exact"/>
              <w:jc w:val="center"/>
              <w:rPr>
                <w:rFonts w:hint="default" w:ascii="Times New Roman" w:hAnsi="Times New Roman" w:eastAsia="方正仿宋_GBK" w:cs="Times New Roman"/>
                <w:b/>
                <w:bCs/>
                <w:sz w:val="28"/>
              </w:rPr>
            </w:pPr>
            <w:r>
              <w:rPr>
                <w:rFonts w:hint="default" w:ascii="Times New Roman" w:hAnsi="Times New Roman" w:eastAsia="方正仿宋_GBK" w:cs="Times New Roman"/>
                <w:b/>
                <w:bCs/>
                <w:sz w:val="28"/>
              </w:rPr>
              <w:t>由</w:t>
            </w:r>
          </w:p>
          <w:p w14:paraId="1BE3FC92">
            <w:pPr>
              <w:spacing w:line="240" w:lineRule="exact"/>
              <w:jc w:val="center"/>
              <w:rPr>
                <w:rFonts w:hint="default" w:ascii="Times New Roman" w:hAnsi="Times New Roman" w:eastAsia="方正仿宋_GBK" w:cs="Times New Roman"/>
                <w:b/>
                <w:bCs/>
                <w:color w:val="000000"/>
                <w:sz w:val="28"/>
                <w:lang w:val="en-US" w:eastAsia="zh-CN"/>
              </w:rPr>
            </w:pPr>
            <w:r>
              <w:rPr>
                <w:rFonts w:hint="default" w:ascii="Times New Roman" w:hAnsi="Times New Roman" w:eastAsia="方正仿宋_GBK" w:cs="Times New Roman"/>
                <w:b/>
                <w:bCs/>
                <w:sz w:val="28"/>
                <w:lang w:val="en-US" w:eastAsia="zh-CN"/>
              </w:rPr>
              <w:t xml:space="preserve">  </w:t>
            </w:r>
          </w:p>
        </w:tc>
        <w:tc>
          <w:tcPr>
            <w:tcW w:w="8821" w:type="dxa"/>
            <w:gridSpan w:val="7"/>
            <w:tcBorders>
              <w:tl2br w:val="nil"/>
              <w:tr2bl w:val="nil"/>
            </w:tcBorders>
            <w:vAlign w:val="center"/>
          </w:tcPr>
          <w:p w14:paraId="0C456A1F">
            <w:pPr>
              <w:pStyle w:val="8"/>
              <w:keepNext w:val="0"/>
              <w:keepLines w:val="0"/>
              <w:pageBreakBefore w:val="0"/>
              <w:widowControl/>
              <w:suppressLineNumbers w:val="0"/>
              <w:kinsoku/>
              <w:wordWrap/>
              <w:overflowPunct/>
              <w:topLinePunct w:val="0"/>
              <w:autoSpaceDE/>
              <w:autoSpaceDN/>
              <w:bidi w:val="0"/>
              <w:adjustRightInd/>
              <w:snapToGrid/>
              <w:spacing w:before="1" w:beforeAutospacing="0" w:after="0" w:afterAutospacing="0" w:line="400" w:lineRule="exact"/>
              <w:ind w:left="0" w:right="0" w:firstLine="420" w:firstLineChars="200"/>
              <w:textAlignment w:val="auto"/>
              <w:rPr>
                <w:rFonts w:hint="default" w:ascii="Times New Roman" w:hAnsi="Times New Roman" w:eastAsia="方正仿宋_GBK" w:cs="Times New Roman"/>
                <w:b w:val="0"/>
                <w:bCs w:val="0"/>
                <w:color w:val="000000"/>
                <w:sz w:val="21"/>
                <w:szCs w:val="21"/>
              </w:rPr>
            </w:pPr>
            <w:r>
              <w:rPr>
                <w:rFonts w:hint="default" w:ascii="Times New Roman" w:hAnsi="Times New Roman" w:eastAsia="方正仿宋_GBK" w:cs="Times New Roman"/>
                <w:sz w:val="21"/>
                <w:lang w:val="en-US" w:eastAsia="zh-CN"/>
              </w:rPr>
              <w:t>农业是我国现代化建设中不可或缺的重要一环，各级政府一直致力于用多样化的扶持政策和金融手段助推现代农业发展。该作品抓住这一重要</w:t>
            </w:r>
            <w:r>
              <w:rPr>
                <w:rFonts w:hint="eastAsia" w:ascii="Times New Roman" w:hAnsi="Times New Roman" w:eastAsia="方正仿宋_GBK" w:cs="Times New Roman"/>
                <w:sz w:val="21"/>
                <w:lang w:val="en-US" w:eastAsia="zh-CN"/>
              </w:rPr>
              <w:t>改革方向</w:t>
            </w:r>
            <w:r>
              <w:rPr>
                <w:rFonts w:hint="default" w:ascii="Times New Roman" w:hAnsi="Times New Roman" w:eastAsia="方正仿宋_GBK" w:cs="Times New Roman"/>
                <w:sz w:val="21"/>
                <w:lang w:val="en-US" w:eastAsia="zh-CN"/>
              </w:rPr>
              <w:t>，精心策划、采写</w:t>
            </w:r>
            <w:r>
              <w:rPr>
                <w:rFonts w:hint="eastAsia" w:ascii="Times New Roman" w:hAnsi="Times New Roman" w:eastAsia="方正仿宋_GBK" w:cs="Times New Roman"/>
                <w:sz w:val="21"/>
                <w:lang w:val="en-US" w:eastAsia="zh-CN"/>
              </w:rPr>
              <w:t>，</w:t>
            </w:r>
            <w:r>
              <w:rPr>
                <w:rFonts w:hint="default" w:ascii="Times New Roman" w:hAnsi="Times New Roman" w:eastAsia="方正仿宋_GBK" w:cs="Times New Roman"/>
                <w:sz w:val="21"/>
                <w:lang w:val="en-US" w:eastAsia="zh-CN"/>
              </w:rPr>
              <w:t>着眼于</w:t>
            </w:r>
            <w:r>
              <w:rPr>
                <w:rFonts w:hint="eastAsia" w:ascii="Times New Roman" w:hAnsi="Times New Roman" w:eastAsia="方正仿宋_GBK" w:cs="Times New Roman"/>
                <w:sz w:val="21"/>
                <w:lang w:val="en-US" w:eastAsia="zh-CN"/>
              </w:rPr>
              <w:t>改革实际取得的成效、面临的困难以及未来推进的方向，抽丝剥茧、层层递进，</w:t>
            </w:r>
            <w:r>
              <w:rPr>
                <w:rFonts w:hint="default" w:ascii="Times New Roman" w:hAnsi="Times New Roman" w:eastAsia="方正仿宋_GBK" w:cs="Times New Roman"/>
                <w:sz w:val="21"/>
                <w:lang w:val="en-US" w:eastAsia="zh-CN"/>
              </w:rPr>
              <w:t>内容扎实、通俗流畅，是一条上乘的消息之作。</w:t>
            </w:r>
          </w:p>
          <w:p w14:paraId="3109BF0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 w:val="28"/>
              </w:rPr>
            </w:pPr>
            <w:r>
              <w:rPr>
                <w:rFonts w:hint="default" w:ascii="Times New Roman" w:hAnsi="Times New Roman" w:eastAsia="方正仿宋_GBK" w:cs="Times New Roman"/>
                <w:b w:val="0"/>
                <w:bCs w:val="0"/>
                <w:color w:val="000000"/>
                <w:spacing w:val="-2"/>
                <w:sz w:val="28"/>
              </w:rPr>
              <w:t xml:space="preserve">                                      签名</w:t>
            </w:r>
            <w:r>
              <w:rPr>
                <w:rFonts w:hint="default" w:ascii="Times New Roman" w:hAnsi="Times New Roman" w:eastAsia="方正仿宋_GBK" w:cs="Times New Roman"/>
                <w:b w:val="0"/>
                <w:bCs w:val="0"/>
                <w:color w:val="000000"/>
                <w:sz w:val="28"/>
              </w:rPr>
              <w:t>（盖单位公章）</w:t>
            </w:r>
            <w:r>
              <w:rPr>
                <w:rFonts w:hint="default" w:ascii="Times New Roman" w:hAnsi="Times New Roman" w:eastAsia="方正仿宋_GBK" w:cs="Times New Roman"/>
                <w:b w:val="0"/>
                <w:bCs w:val="0"/>
                <w:color w:val="000000"/>
                <w:spacing w:val="-2"/>
                <w:sz w:val="28"/>
              </w:rPr>
              <w:t>：</w:t>
            </w:r>
          </w:p>
          <w:p w14:paraId="5DF11F77">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方正仿宋_GBK" w:cs="Times New Roman"/>
                <w:b w:val="0"/>
                <w:bCs w:val="0"/>
                <w:color w:val="000000"/>
                <w:szCs w:val="21"/>
              </w:rPr>
            </w:pPr>
            <w:r>
              <w:rPr>
                <w:rFonts w:hint="default" w:ascii="Times New Roman" w:hAnsi="Times New Roman" w:eastAsia="方正仿宋_GBK" w:cs="Times New Roman"/>
                <w:b w:val="0"/>
                <w:bCs w:val="0"/>
                <w:color w:val="000000"/>
                <w:sz w:val="28"/>
              </w:rPr>
              <w:t xml:space="preserve">                                              年  月  日</w:t>
            </w:r>
          </w:p>
        </w:tc>
      </w:tr>
    </w:tbl>
    <w:p w14:paraId="6197BBF5">
      <w:pPr>
        <w:rPr>
          <w:rFonts w:hint="default" w:ascii="Times New Roman" w:hAnsi="Times New Roman" w:cs="Times New Roman"/>
        </w:rPr>
      </w:pPr>
    </w:p>
    <w:sectPr>
      <w:headerReference r:id="rId3" w:type="default"/>
      <w:pgSz w:w="11906" w:h="16838"/>
      <w:pgMar w:top="850" w:right="1800" w:bottom="85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2010600010101010101"/>
    <w:charset w:val="86"/>
    <w:family w:val="script"/>
    <w:pitch w:val="default"/>
    <w:sig w:usb0="00000001" w:usb1="080E0000" w:usb2="00000000" w:usb3="00000000" w:csb0="00040000" w:csb1="00000000"/>
    <w:embedRegular r:id="rId1" w:fontKey="{CFBEA262-9F6E-473A-8A94-E3EF0A76317D}"/>
  </w:font>
  <w:font w:name="方正小标宋_GBK">
    <w:altName w:val="微软雅黑"/>
    <w:panose1 w:val="03000509000000000000"/>
    <w:charset w:val="86"/>
    <w:family w:val="script"/>
    <w:pitch w:val="default"/>
    <w:sig w:usb0="00000000" w:usb1="00000000" w:usb2="00000000" w:usb3="00000000" w:csb0="00040000" w:csb1="00000000"/>
    <w:embedRegular r:id="rId2" w:fontKey="{6095A98A-E585-41A4-8274-1F4D88670516}"/>
  </w:font>
  <w:font w:name="方正仿宋_GBK">
    <w:panose1 w:val="02000000000000000000"/>
    <w:charset w:val="86"/>
    <w:family w:val="auto"/>
    <w:pitch w:val="default"/>
    <w:sig w:usb0="A00002BF" w:usb1="38CF7CFA" w:usb2="00082016" w:usb3="00000000" w:csb0="00040001" w:csb1="00000000"/>
    <w:embedRegular r:id="rId3" w:fontKey="{E7868725-6A24-43EF-B796-10FA559C70E4}"/>
  </w:font>
  <w:font w:name="华文楷体">
    <w:altName w:val="宋体"/>
    <w:panose1 w:val="02010600040101010101"/>
    <w:charset w:val="86"/>
    <w:family w:val="auto"/>
    <w:pitch w:val="default"/>
    <w:sig w:usb0="00000000" w:usb1="00000000" w:usb2="00000016" w:usb3="00000000" w:csb0="0004001F" w:csb1="00000000"/>
    <w:embedRegular r:id="rId4" w:fontKey="{FD9F361F-F891-4AA9-8284-98417A9F5548}"/>
  </w:font>
  <w:font w:name="方正楷体_GBK">
    <w:panose1 w:val="02000000000000000000"/>
    <w:charset w:val="86"/>
    <w:family w:val="auto"/>
    <w:pitch w:val="default"/>
    <w:sig w:usb0="800002BF" w:usb1="38CF7CFA" w:usb2="00000016" w:usb3="00000000" w:csb0="00040000" w:csb1="00000000"/>
    <w:embedRegular r:id="rId5" w:fontKey="{49C7529A-390C-4A0C-86C5-DD77C7C58D10}"/>
  </w:font>
  <w:font w:name="楷体">
    <w:panose1 w:val="02010609060101010101"/>
    <w:charset w:val="86"/>
    <w:family w:val="modern"/>
    <w:pitch w:val="default"/>
    <w:sig w:usb0="800002BF" w:usb1="38CF7CFA" w:usb2="00000016" w:usb3="00000000" w:csb0="00040001" w:csb1="00000000"/>
    <w:embedRegular r:id="rId6" w:fontKey="{D8698275-3ACE-4590-87F2-258FFB4321BC}"/>
  </w:font>
  <w:font w:name="微软雅黑">
    <w:panose1 w:val="020B0503020204020204"/>
    <w:charset w:val="86"/>
    <w:family w:val="auto"/>
    <w:pitch w:val="default"/>
    <w:sig w:usb0="80000287" w:usb1="2ACF3C50" w:usb2="00000016" w:usb3="00000000" w:csb0="0004001F" w:csb1="00000000"/>
  </w:font>
  <w:font w:name="WPSEMBED17">
    <w:panose1 w:val="02000000000000000000"/>
    <w:charset w:val="86"/>
    <w:family w:val="auto"/>
    <w:pitch w:val="default"/>
    <w:sig w:usb0="800002BF" w:usb1="38CF7CFA"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06786"/>
    <w:rsid w:val="01A97B4C"/>
    <w:rsid w:val="040C2A1E"/>
    <w:rsid w:val="0B462863"/>
    <w:rsid w:val="0BDC704F"/>
    <w:rsid w:val="0C9615C8"/>
    <w:rsid w:val="0EF6634E"/>
    <w:rsid w:val="103E4A53"/>
    <w:rsid w:val="16FA2753"/>
    <w:rsid w:val="1A2B27FC"/>
    <w:rsid w:val="1EB46F10"/>
    <w:rsid w:val="291819B2"/>
    <w:rsid w:val="2CCF04B2"/>
    <w:rsid w:val="2F725125"/>
    <w:rsid w:val="31523460"/>
    <w:rsid w:val="33363900"/>
    <w:rsid w:val="38C033A5"/>
    <w:rsid w:val="3A696F7B"/>
    <w:rsid w:val="3ADE3FB6"/>
    <w:rsid w:val="3B5D312D"/>
    <w:rsid w:val="3CBA010B"/>
    <w:rsid w:val="3CD218F9"/>
    <w:rsid w:val="3D202664"/>
    <w:rsid w:val="3EFCE06D"/>
    <w:rsid w:val="3F0C2A04"/>
    <w:rsid w:val="47721B46"/>
    <w:rsid w:val="499A72FA"/>
    <w:rsid w:val="4B736055"/>
    <w:rsid w:val="4CA94913"/>
    <w:rsid w:val="52D35D4C"/>
    <w:rsid w:val="5D250E1A"/>
    <w:rsid w:val="60BF5B6D"/>
    <w:rsid w:val="62F5293B"/>
    <w:rsid w:val="64201A10"/>
    <w:rsid w:val="68E6311C"/>
    <w:rsid w:val="6F6B5CF5"/>
    <w:rsid w:val="70CD2B43"/>
    <w:rsid w:val="72205B7A"/>
    <w:rsid w:val="73F26870"/>
    <w:rsid w:val="7423420D"/>
    <w:rsid w:val="77884AB3"/>
    <w:rsid w:val="7FBEA055"/>
    <w:rsid w:val="FBDF2E17"/>
    <w:rsid w:val="FEA79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character" w:styleId="7">
    <w:name w:val="Hyperlink"/>
    <w:basedOn w:val="5"/>
    <w:uiPriority w:val="0"/>
    <w:rPr>
      <w:color w:val="0000FF"/>
      <w:u w:val="single"/>
    </w:rPr>
  </w:style>
  <w:style w:type="paragraph" w:customStyle="1" w:styleId="8">
    <w:name w:val="Table Paragraph"/>
    <w:basedOn w:val="1"/>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868</Words>
  <Characters>969</Characters>
  <Lines>0</Lines>
  <Paragraphs>0</Paragraphs>
  <TotalTime>2</TotalTime>
  <ScaleCrop>false</ScaleCrop>
  <LinksUpToDate>false</LinksUpToDate>
  <CharactersWithSpaces>1063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2026-04-07T14:18:00Z</dcterms:created>
  <dc:creator>EDY</dc:creator>
  <cp:lastModifiedBy>hapsong</cp:lastModifiedBy>
  <dcterms:modified xsi:type="dcterms:W3CDTF">2026-08-10T07:22:37Z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eyJoZGlkIjoiMGM2ODU4ODM4NWZlNTFjNDM2NzBhZDQxNjI4MWFjNmIiLCJ1c2VySWQiOiI0ODEyMTI0NzQifQ==</vt:lpwstr>
  </property>
  <property fmtid="{D5CDD505-2E9C-101B-9397-08002B2CF9AE}" pid="4" name="ICV">
    <vt:lpwstr>F2F2CA2AC3FE4C4F9647BAF83B867ADA_13</vt:lpwstr>
  </property>
</Properties>
</file>